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B6BCE" w14:textId="77777777" w:rsidR="006A160E" w:rsidRDefault="006A160E">
      <w:pPr>
        <w:rPr>
          <w:b/>
          <w:sz w:val="28"/>
          <w:szCs w:val="28"/>
        </w:rPr>
      </w:pPr>
    </w:p>
    <w:p w14:paraId="3FE3AADB" w14:textId="03718086" w:rsidR="00175A85" w:rsidRDefault="00F86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Sistemi di misurazione Minneapolis BlowerDoor ora con il nuovo manometro </w:t>
      </w:r>
      <w:r w:rsidR="003D3A55">
        <w:rPr>
          <w:b/>
          <w:sz w:val="28"/>
          <w:szCs w:val="28"/>
        </w:rPr>
        <w:br/>
      </w:r>
      <w:r>
        <w:rPr>
          <w:b/>
          <w:sz w:val="28"/>
          <w:szCs w:val="28"/>
        </w:rPr>
        <w:t>DG-1000</w:t>
      </w:r>
    </w:p>
    <w:p w14:paraId="1C1E786A" w14:textId="77777777" w:rsidR="00F8681A" w:rsidRDefault="00F8681A">
      <w:pPr>
        <w:rPr>
          <w:b/>
          <w:sz w:val="28"/>
          <w:szCs w:val="28"/>
        </w:rPr>
      </w:pPr>
    </w:p>
    <w:p w14:paraId="57FE40B7" w14:textId="77777777" w:rsidR="008D294A" w:rsidRPr="00471F6C" w:rsidRDefault="00034C7A" w:rsidP="008D294A">
      <w:pPr>
        <w:rPr>
          <w:sz w:val="24"/>
          <w:szCs w:val="24"/>
        </w:rPr>
      </w:pPr>
      <w:r>
        <w:rPr>
          <w:sz w:val="24"/>
          <w:szCs w:val="24"/>
        </w:rPr>
        <w:t xml:space="preserve">Il nuovo DG-1000, degno successore del già apprezzabile DG-700, conquista con il suo utilizzo intuitivo, la sua struttura chiara e il suo design moderno. Il DG-1000 dispone di un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screen ad alta risoluzione e di un microprocessore intelligente con le funzionalità di un moderno mini-computer. Nuovi requisiti vengono costantemente implementati nel software di misurazione e l’utente può scaricare gratuitamente gli ultimi aggiornamenti in qualsiasi momento. Il DG-1000 è stato dotato di una porta USB ed ethernet e dispone di un modulo WLAN integrato di serie con il quale è possibile gestire la misurazione BlowerDoor sul computer portatile via radio da un altro luogo idoneo all’interno dell’edificio.</w:t>
      </w:r>
    </w:p>
    <w:p w14:paraId="50058DE3" w14:textId="77777777" w:rsidR="00F8681A" w:rsidRDefault="008D294A">
      <w:pPr>
        <w:rPr>
          <w:sz w:val="24"/>
          <w:szCs w:val="24"/>
        </w:rPr>
      </w:pPr>
      <w:r>
        <w:rPr>
          <w:sz w:val="24"/>
          <w:szCs w:val="24"/>
        </w:rPr>
        <w:t>La misurazione BlowerDoor con rilevamento e analisi di una serie di parametri secondo ISO 9972 o DIN EN 13829 viene eseguita con il software TECTITE Express 5.1. Per garantire la massima qualità, il rilevamento delle dispersioni</w:t>
      </w:r>
      <w:r w:rsidR="00627EB6">
        <w:rPr>
          <w:sz w:val="24"/>
          <w:szCs w:val="24"/>
        </w:rPr>
        <w:t xml:space="preserve"> viene effettuato</w:t>
      </w:r>
      <w:r>
        <w:rPr>
          <w:sz w:val="24"/>
          <w:szCs w:val="24"/>
        </w:rPr>
        <w:t>, con una differenza di pressione costante nell’edificio, direttamente con il DG-1000 o con l’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TEC </w:t>
      </w:r>
      <w:proofErr w:type="spellStart"/>
      <w:r>
        <w:rPr>
          <w:sz w:val="24"/>
          <w:szCs w:val="24"/>
        </w:rPr>
        <w:t>Gauge</w:t>
      </w:r>
      <w:proofErr w:type="spellEnd"/>
      <w:r>
        <w:rPr>
          <w:sz w:val="24"/>
          <w:szCs w:val="24"/>
        </w:rPr>
        <w:t xml:space="preserve">. Grazie all’elevata precisione, il DG-1000 offre la massima attendibilità dei dati. Il DG-1000 è compatibile con tutti i sistemi di misurazione Minneapolis </w:t>
      </w:r>
      <w:proofErr w:type="spellStart"/>
      <w:r>
        <w:rPr>
          <w:sz w:val="24"/>
          <w:szCs w:val="24"/>
        </w:rPr>
        <w:t>BloweDoor</w:t>
      </w:r>
      <w:proofErr w:type="spellEnd"/>
      <w:r>
        <w:rPr>
          <w:sz w:val="24"/>
          <w:szCs w:val="24"/>
        </w:rPr>
        <w:t xml:space="preserve"> attuali e nuovi ed è disponibile anche come upgrade. L’intervallo di calibrazione è di due anni (dichiarazione del produttore).</w:t>
      </w:r>
    </w:p>
    <w:p w14:paraId="00211C67" w14:textId="77777777" w:rsidR="006A160E" w:rsidRDefault="006A160E">
      <w:pPr>
        <w:rPr>
          <w:sz w:val="24"/>
          <w:szCs w:val="24"/>
        </w:rPr>
      </w:pPr>
    </w:p>
    <w:p w14:paraId="11EA8FB0" w14:textId="77777777" w:rsidR="006A160E" w:rsidRDefault="006A160E">
      <w:pPr>
        <w:rPr>
          <w:sz w:val="24"/>
          <w:szCs w:val="24"/>
        </w:rPr>
      </w:pPr>
    </w:p>
    <w:p w14:paraId="6E96FC47" w14:textId="7672C2BB" w:rsidR="006A160E" w:rsidRDefault="005C32F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de-DE" w:eastAsia="de-DE"/>
        </w:rPr>
        <w:drawing>
          <wp:inline distT="0" distB="0" distL="0" distR="0" wp14:anchorId="2BA57A71" wp14:editId="5DE456B9">
            <wp:extent cx="3645648" cy="245488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1000_Frontal_E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938" cy="24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591BAC" w14:textId="77777777" w:rsidR="006A160E" w:rsidRDefault="006A160E">
      <w:pPr>
        <w:rPr>
          <w:sz w:val="24"/>
          <w:szCs w:val="24"/>
        </w:rPr>
      </w:pPr>
    </w:p>
    <w:p w14:paraId="4287667B" w14:textId="77777777" w:rsidR="006A160E" w:rsidRDefault="006A160E">
      <w:pPr>
        <w:rPr>
          <w:sz w:val="24"/>
          <w:szCs w:val="24"/>
        </w:rPr>
      </w:pPr>
    </w:p>
    <w:p w14:paraId="5F736415" w14:textId="77777777" w:rsidR="006A160E" w:rsidRPr="00752D3B" w:rsidRDefault="006A160E" w:rsidP="006A160E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F96E" wp14:editId="0ECBB73F">
                <wp:simplePos x="0" y="0"/>
                <wp:positionH relativeFrom="column">
                  <wp:posOffset>2908935</wp:posOffset>
                </wp:positionH>
                <wp:positionV relativeFrom="paragraph">
                  <wp:posOffset>230506</wp:posOffset>
                </wp:positionV>
                <wp:extent cx="2886075" cy="2076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F1DC" w14:textId="77777777" w:rsidR="006A160E" w:rsidRDefault="006A160E" w:rsidP="006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05pt;margin-top:18.15pt;width:227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JIwIAAB4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" stroked="f">
                <v:textbox>
                  <w:txbxContent>
                    <w:p w:rsidR="006A160E" w:rsidRDefault="006A160E" w:rsidP="006A160E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3841ADE6" wp14:editId="4AB92B5E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6CF1" w14:textId="77777777" w:rsidR="006A160E" w:rsidRPr="00E30993" w:rsidRDefault="006A160E" w:rsidP="006A160E"/>
    <w:p w14:paraId="1207484C" w14:textId="77777777" w:rsidR="006A160E" w:rsidRPr="00E30993" w:rsidRDefault="006A160E" w:rsidP="006A160E">
      <w:r>
        <w:rPr>
          <w:b/>
        </w:rPr>
        <w:t>BlowerDoor GmbH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6D50EB" w14:textId="5CFDFA49" w:rsidR="006A160E" w:rsidRPr="00E30993" w:rsidRDefault="003D3A55" w:rsidP="006A160E">
      <w:proofErr w:type="spellStart"/>
      <w:r>
        <w:rPr>
          <w:b/>
        </w:rPr>
        <w:t>MessSysteme</w:t>
      </w:r>
      <w:proofErr w:type="spellEnd"/>
      <w:r>
        <w:rPr>
          <w:b/>
        </w:rPr>
        <w:t xml:space="preserve"> für </w:t>
      </w:r>
      <w:proofErr w:type="spellStart"/>
      <w:r>
        <w:rPr>
          <w:b/>
        </w:rPr>
        <w:t>Luftdichtheit</w:t>
      </w:r>
      <w:proofErr w:type="spellEnd"/>
      <w:r w:rsidR="006A160E">
        <w:rPr>
          <w:b/>
        </w:rPr>
        <w:tab/>
      </w:r>
      <w:r w:rsidR="006A160E">
        <w:rPr>
          <w:b/>
        </w:rPr>
        <w:tab/>
      </w:r>
      <w:r w:rsidR="006A160E">
        <w:rPr>
          <w:b/>
        </w:rPr>
        <w:tab/>
      </w:r>
    </w:p>
    <w:p w14:paraId="48C621E2" w14:textId="77777777" w:rsidR="006A160E" w:rsidRPr="00E30993" w:rsidRDefault="006A160E" w:rsidP="006A160E">
      <w:proofErr w:type="spellStart"/>
      <w:r>
        <w:t>Zum</w:t>
      </w:r>
      <w:proofErr w:type="spellEnd"/>
      <w:r>
        <w:t xml:space="preserve"> Energie- und </w:t>
      </w:r>
      <w:proofErr w:type="spellStart"/>
      <w:r>
        <w:t>Umweltzentrum</w:t>
      </w:r>
      <w:proofErr w:type="spellEnd"/>
      <w:r>
        <w:t xml:space="preserve"> 1</w:t>
      </w:r>
      <w:r>
        <w:tab/>
      </w:r>
      <w:r>
        <w:tab/>
      </w:r>
    </w:p>
    <w:p w14:paraId="740EC51F" w14:textId="77777777" w:rsidR="006A160E" w:rsidRPr="00B36806" w:rsidRDefault="006A160E" w:rsidP="006A160E">
      <w:r>
        <w:t xml:space="preserve">31832 </w:t>
      </w:r>
      <w:proofErr w:type="spellStart"/>
      <w:r>
        <w:t>Springe-Eldagsen</w:t>
      </w:r>
      <w:proofErr w:type="spellEnd"/>
    </w:p>
    <w:p w14:paraId="75AD3749" w14:textId="60970383" w:rsidR="006A160E" w:rsidRPr="00010C38" w:rsidRDefault="003D3A55" w:rsidP="006A160E">
      <w:proofErr w:type="gramStart"/>
      <w:r>
        <w:t>www.blowerdoor.it</w:t>
      </w:r>
      <w:proofErr w:type="gramEnd"/>
    </w:p>
    <w:p w14:paraId="112EE3A2" w14:textId="77777777" w:rsidR="006A160E" w:rsidRPr="00141E90" w:rsidRDefault="006A160E" w:rsidP="006A160E">
      <w:pPr>
        <w:spacing w:line="288" w:lineRule="auto"/>
        <w:rPr>
          <w:i/>
          <w:sz w:val="8"/>
          <w:szCs w:val="8"/>
          <w:lang w:val="en-US"/>
        </w:rPr>
      </w:pPr>
    </w:p>
    <w:p w14:paraId="4EDF77EC" w14:textId="77777777" w:rsidR="006A160E" w:rsidRPr="00010C38" w:rsidRDefault="006A160E" w:rsidP="006A160E">
      <w:r>
        <w:t>Ufficio stampa: Andrea Doll</w:t>
      </w:r>
    </w:p>
    <w:p w14:paraId="6E0869CE" w14:textId="77777777" w:rsidR="006A160E" w:rsidRPr="00E30993" w:rsidRDefault="006A160E" w:rsidP="006A160E">
      <w:r>
        <w:t>Telefono +49 (0)5044 975-45</w:t>
      </w:r>
    </w:p>
    <w:p w14:paraId="53CFF234" w14:textId="77777777" w:rsidR="006A160E" w:rsidRPr="00471F6C" w:rsidRDefault="006A160E" w:rsidP="006A160E">
      <w:pPr>
        <w:rPr>
          <w:sz w:val="24"/>
          <w:szCs w:val="24"/>
        </w:rPr>
      </w:pPr>
      <w:r>
        <w:lastRenderedPageBreak/>
        <w:t xml:space="preserve">E-mail: </w:t>
      </w:r>
      <w:hyperlink r:id="rId9" w:history="1">
        <w:r>
          <w:rPr>
            <w:rStyle w:val="Hyperlink"/>
          </w:rPr>
          <w:t>doll@blowerdoor.de</w:t>
        </w:r>
      </w:hyperlink>
      <w:r>
        <w:tab/>
      </w:r>
    </w:p>
    <w:sectPr w:rsidR="006A160E" w:rsidRPr="00471F6C" w:rsidSect="00476A2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8B38" w14:textId="77777777" w:rsidR="00872F20" w:rsidRDefault="00872F20" w:rsidP="006A160E">
      <w:r>
        <w:separator/>
      </w:r>
    </w:p>
  </w:endnote>
  <w:endnote w:type="continuationSeparator" w:id="0">
    <w:p w14:paraId="036D80A2" w14:textId="77777777" w:rsidR="00872F20" w:rsidRDefault="00872F20" w:rsidP="006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B94F" w14:textId="77777777" w:rsidR="00872F20" w:rsidRDefault="00872F20" w:rsidP="006A160E">
      <w:r>
        <w:separator/>
      </w:r>
    </w:p>
  </w:footnote>
  <w:footnote w:type="continuationSeparator" w:id="0">
    <w:p w14:paraId="31EF95BD" w14:textId="77777777" w:rsidR="00872F20" w:rsidRDefault="00872F20" w:rsidP="006A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E9B6" w14:textId="77777777" w:rsidR="006A160E" w:rsidRPr="00DB5442" w:rsidRDefault="006A160E" w:rsidP="006A160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Comunicato stampa DG-1000/Agosto 2017/BlowerDoor GmbH/Do</w:t>
    </w:r>
  </w:p>
  <w:p w14:paraId="2F9DC6FB" w14:textId="77777777" w:rsidR="006A160E" w:rsidRPr="006A160E" w:rsidRDefault="006A160E" w:rsidP="006A160E">
    <w:pPr>
      <w:pStyle w:val="Kopfzeile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A"/>
    <w:rsid w:val="00034C7A"/>
    <w:rsid w:val="000E45F1"/>
    <w:rsid w:val="00175A85"/>
    <w:rsid w:val="00237308"/>
    <w:rsid w:val="003870A9"/>
    <w:rsid w:val="003D3A55"/>
    <w:rsid w:val="00471F6C"/>
    <w:rsid w:val="00476A20"/>
    <w:rsid w:val="0050336C"/>
    <w:rsid w:val="005358AA"/>
    <w:rsid w:val="005C32F3"/>
    <w:rsid w:val="00627EB6"/>
    <w:rsid w:val="006A160E"/>
    <w:rsid w:val="006F7EA6"/>
    <w:rsid w:val="00752107"/>
    <w:rsid w:val="007F26BE"/>
    <w:rsid w:val="007F70FC"/>
    <w:rsid w:val="00823947"/>
    <w:rsid w:val="00865050"/>
    <w:rsid w:val="00872F20"/>
    <w:rsid w:val="008D294A"/>
    <w:rsid w:val="009856AE"/>
    <w:rsid w:val="00A042F2"/>
    <w:rsid w:val="00A4481C"/>
    <w:rsid w:val="00BB6676"/>
    <w:rsid w:val="00C129BF"/>
    <w:rsid w:val="00C26DA4"/>
    <w:rsid w:val="00CE05D6"/>
    <w:rsid w:val="00D7475D"/>
    <w:rsid w:val="00DB2E75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8</cp:revision>
  <cp:lastPrinted>2017-07-11T11:35:00Z</cp:lastPrinted>
  <dcterms:created xsi:type="dcterms:W3CDTF">2017-07-13T09:19:00Z</dcterms:created>
  <dcterms:modified xsi:type="dcterms:W3CDTF">2017-09-20T07:15:00Z</dcterms:modified>
</cp:coreProperties>
</file>